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4C" w:rsidRPr="00946C4C" w:rsidRDefault="00946C4C" w:rsidP="00946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46C4C" w:rsidRPr="00946C4C" w:rsidRDefault="00946C4C" w:rsidP="0094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46C4C" w:rsidRPr="00946C4C" w:rsidRDefault="00946C4C" w:rsidP="0094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</w:p>
    <w:p w:rsidR="00946C4C" w:rsidRPr="00946C4C" w:rsidRDefault="00946C4C" w:rsidP="0094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46C4C" w:rsidRPr="00946C4C" w:rsidRDefault="00946C4C" w:rsidP="0094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46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</w:p>
    <w:p w:rsidR="00946C4C" w:rsidRPr="00946C4C" w:rsidRDefault="00946C4C" w:rsidP="0094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6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946C4C" w:rsidRPr="00946C4C" w:rsidRDefault="00946C4C" w:rsidP="0094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  </w:t>
      </w:r>
      <w:r w:rsidR="00130CA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ПОСТАНОВЛЕНИЕ       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      от </w:t>
      </w:r>
      <w:r w:rsidR="00647770">
        <w:rPr>
          <w:rFonts w:ascii="Times New Roman" w:hAnsi="Times New Roman" w:cs="Times New Roman"/>
          <w:sz w:val="28"/>
          <w:szCs w:val="28"/>
        </w:rPr>
        <w:t>12.02.2019г.</w:t>
      </w:r>
      <w:r w:rsidRPr="003D157D">
        <w:rPr>
          <w:rFonts w:ascii="Times New Roman" w:hAnsi="Times New Roman" w:cs="Times New Roman"/>
          <w:sz w:val="28"/>
          <w:szCs w:val="28"/>
        </w:rPr>
        <w:t xml:space="preserve">№ </w:t>
      </w:r>
      <w:r w:rsidR="002F257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«Об утверждении методики прогнозирования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поступлений доходов в бюджет 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12D3" w:rsidRPr="003D157D" w:rsidRDefault="00130CAD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612D3" w:rsidRPr="003D157D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На основании части 9 статьи 34 Федерального закона от 06.10.2003 № 131-ФЗ «Об общих принципах организации местного самоуправления в Российской Федерации», в соответствии со статьей 160.1 Бюджетного кодекса Российской Федерации, Уставом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30CA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Самарской области, в целях применения единой методологической основы при прогнозировании доходов бюджета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30CA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Самарской области и повышения объективности и качества бюджетного планирования на очередной финансовый год и плановый период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1. Утвердить прилагаемую методику прогнозирования налоговых и неналоговых доходов бюджета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30CA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Самарской области очередной финансовый год и плановый период.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</w:t>
      </w:r>
      <w:r w:rsidR="00130CAD">
        <w:rPr>
          <w:rFonts w:ascii="Times New Roman" w:hAnsi="Times New Roman" w:cs="Times New Roman"/>
          <w:sz w:val="28"/>
          <w:szCs w:val="28"/>
        </w:rPr>
        <w:t>газете</w:t>
      </w:r>
      <w:r w:rsidRPr="003D157D">
        <w:rPr>
          <w:rFonts w:ascii="Times New Roman" w:hAnsi="Times New Roman" w:cs="Times New Roman"/>
          <w:sz w:val="28"/>
          <w:szCs w:val="28"/>
        </w:rPr>
        <w:t xml:space="preserve"> «</w:t>
      </w:r>
      <w:r w:rsidR="00130CAD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Pr="003D157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>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3.   Настоящее постановления вступает в силу после его официального опубликования.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4.   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> </w:t>
      </w:r>
      <w:r w:rsidR="00130CAD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3D157D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130CA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</w:p>
    <w:p w:rsidR="00130CAD" w:rsidRDefault="00130CAD" w:rsidP="00D612D3">
      <w:pPr>
        <w:rPr>
          <w:rFonts w:ascii="Times New Roman" w:hAnsi="Times New Roman" w:cs="Times New Roman"/>
          <w:sz w:val="28"/>
          <w:szCs w:val="28"/>
        </w:rPr>
      </w:pPr>
    </w:p>
    <w:p w:rsidR="00130CAD" w:rsidRDefault="00130CAD" w:rsidP="00D612D3">
      <w:pPr>
        <w:rPr>
          <w:rFonts w:ascii="Times New Roman" w:hAnsi="Times New Roman" w:cs="Times New Roman"/>
          <w:sz w:val="28"/>
          <w:szCs w:val="28"/>
        </w:rPr>
      </w:pPr>
    </w:p>
    <w:p w:rsidR="00130CAD" w:rsidRDefault="00130CAD" w:rsidP="00D612D3">
      <w:pPr>
        <w:rPr>
          <w:rFonts w:ascii="Times New Roman" w:hAnsi="Times New Roman" w:cs="Times New Roman"/>
          <w:sz w:val="28"/>
          <w:szCs w:val="28"/>
        </w:rPr>
      </w:pPr>
    </w:p>
    <w:p w:rsidR="00130CAD" w:rsidRDefault="00130CAD" w:rsidP="00D612D3">
      <w:pPr>
        <w:rPr>
          <w:rFonts w:ascii="Times New Roman" w:hAnsi="Times New Roman" w:cs="Times New Roman"/>
          <w:sz w:val="28"/>
          <w:szCs w:val="28"/>
        </w:rPr>
      </w:pPr>
    </w:p>
    <w:p w:rsidR="00130CAD" w:rsidRDefault="00130CAD" w:rsidP="00D612D3">
      <w:pPr>
        <w:rPr>
          <w:rFonts w:ascii="Times New Roman" w:hAnsi="Times New Roman" w:cs="Times New Roman"/>
          <w:sz w:val="28"/>
          <w:szCs w:val="28"/>
        </w:rPr>
      </w:pPr>
    </w:p>
    <w:p w:rsidR="00130CAD" w:rsidRDefault="00130CAD" w:rsidP="00D612D3">
      <w:pPr>
        <w:rPr>
          <w:rFonts w:ascii="Times New Roman" w:hAnsi="Times New Roman" w:cs="Times New Roman"/>
          <w:sz w:val="28"/>
          <w:szCs w:val="28"/>
        </w:rPr>
      </w:pPr>
    </w:p>
    <w:p w:rsidR="00130CAD" w:rsidRDefault="00130CAD" w:rsidP="00D612D3">
      <w:pPr>
        <w:rPr>
          <w:rFonts w:ascii="Times New Roman" w:hAnsi="Times New Roman" w:cs="Times New Roman"/>
          <w:sz w:val="28"/>
          <w:szCs w:val="28"/>
        </w:rPr>
      </w:pPr>
    </w:p>
    <w:p w:rsidR="00D612D3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946C4C" w:rsidRDefault="00946C4C" w:rsidP="00D612D3">
      <w:pPr>
        <w:rPr>
          <w:rFonts w:ascii="Times New Roman" w:hAnsi="Times New Roman" w:cs="Times New Roman"/>
          <w:sz w:val="28"/>
          <w:szCs w:val="28"/>
        </w:rPr>
      </w:pPr>
    </w:p>
    <w:p w:rsidR="00946C4C" w:rsidRDefault="00946C4C" w:rsidP="00D612D3">
      <w:pPr>
        <w:rPr>
          <w:rFonts w:ascii="Times New Roman" w:hAnsi="Times New Roman" w:cs="Times New Roman"/>
          <w:sz w:val="28"/>
          <w:szCs w:val="28"/>
        </w:rPr>
      </w:pPr>
    </w:p>
    <w:p w:rsidR="00946C4C" w:rsidRDefault="00946C4C" w:rsidP="00D612D3">
      <w:pPr>
        <w:rPr>
          <w:rFonts w:ascii="Times New Roman" w:hAnsi="Times New Roman" w:cs="Times New Roman"/>
          <w:sz w:val="28"/>
          <w:szCs w:val="28"/>
        </w:rPr>
      </w:pPr>
    </w:p>
    <w:p w:rsidR="00946C4C" w:rsidRDefault="00946C4C" w:rsidP="00D612D3">
      <w:pPr>
        <w:rPr>
          <w:rFonts w:ascii="Times New Roman" w:hAnsi="Times New Roman" w:cs="Times New Roman"/>
          <w:sz w:val="28"/>
          <w:szCs w:val="28"/>
        </w:rPr>
      </w:pPr>
    </w:p>
    <w:p w:rsidR="00946C4C" w:rsidRDefault="00946C4C" w:rsidP="00D612D3">
      <w:pPr>
        <w:rPr>
          <w:rFonts w:ascii="Times New Roman" w:hAnsi="Times New Roman" w:cs="Times New Roman"/>
          <w:sz w:val="28"/>
          <w:szCs w:val="28"/>
        </w:rPr>
      </w:pPr>
    </w:p>
    <w:p w:rsidR="00946C4C" w:rsidRDefault="00946C4C" w:rsidP="00D612D3">
      <w:pPr>
        <w:rPr>
          <w:rFonts w:ascii="Times New Roman" w:hAnsi="Times New Roman" w:cs="Times New Roman"/>
          <w:sz w:val="28"/>
          <w:szCs w:val="28"/>
        </w:rPr>
      </w:pPr>
    </w:p>
    <w:p w:rsidR="00946C4C" w:rsidRPr="003D157D" w:rsidRDefault="00946C4C" w:rsidP="00D612D3">
      <w:pPr>
        <w:rPr>
          <w:rFonts w:ascii="Times New Roman" w:hAnsi="Times New Roman" w:cs="Times New Roman"/>
          <w:sz w:val="28"/>
          <w:szCs w:val="28"/>
        </w:rPr>
      </w:pP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>МЕТОДИКА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30CA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F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1. Общие положения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Прогнозирование налоговых и неналоговых доходов бюджета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Основой прогнозирования доходов являются: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а) показатели прогнозов социально-экономического развития муниципального района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30CA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на очередной год и на плановый период;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б) ожидаемый объем поступления налогов в текущем финансовом году;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в) индексы-дефляторы изменения макроэкономических показателей, по прогнозу социально-экономического развития муниципального района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г) данные о поступлении налогов за год, предшествующий текущему финансовому году и за отчетный период текущего финансового года;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д) данные о недоимке по налогам на последнюю отчетную дату;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е) данные о предоставлении налоговых льгот за год, предшествующий текущему финансовому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ж) данные налоговой отчетности о налогооблагаемой базе на последнюю отчетную дату;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з) сведения, необходимые для составления проекта бюджета, предоставленные главными администраторами доходов бюджета сельского поселения.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доходов бюджета сельского поселения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30CA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настоящим постановлением, отдельно по каждому виду доходов.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 Прогнозирование по видам доходов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2.1. Налоговые доходы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2.1.1. Налог на доходы физических лиц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Прогноз поступлений налога на доходы физических лиц рассчитывается в соответствии с главой 23 части второй Налогового кодекса Российской Федерации. Для расчета прогноза используется показатель расчетного фонда заработной платы за отчетный год, а также показатели, характеризующие динамику макроэкономических показателей (темпы роста фонда заработной платы и согласно прогнозу социально-экономического развития сельского поселения), отчет Межрайонной инспекции ФНС России № 16 по Самарской области по форме.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Поступление налога на очередной финансовый год рассчитывается двумя способами, итоговый вариант определяется методом экспертной оценки.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Расчет суммы планируемых поступлений налога на доходы физических лиц производится по формулам: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Первый вариант расчета: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НДФЛ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= ((ФОТ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- В) x </w:t>
      </w:r>
      <w:proofErr w:type="spellStart"/>
      <w:proofErr w:type="gramStart"/>
      <w:r w:rsidRPr="003D157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НДФЛснт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>) x Н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где: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НДФЛ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налог на доходы физических лиц в расчетном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ФОТ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фонд оплаты труда в расчетном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В – налоговые вычеты;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157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– ставка налога (13%);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НДФЛснт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сумма налога, взимаемого по специальным налоговым ставкам (9%, 30%, 35%);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Н – норматив отчисления от налога в бюджет сельского поселения Давыдовка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Второй вариант расчета: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 xml:space="preserve">НДФЛ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= (НДФЛ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+/- Д) x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x Н,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где: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НДФЛ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налог на доходы физических лиц в расчетном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НДФЛ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ожидаемое поступление налога на доходы физических лиц в текущем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Д – дополнительные или выпадающие доходы;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- коэффициент роста (снижения) показателей фонда оплаты труда, предусмотренный прогнозом социально-экономического развития муниципального района Приволжский;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Н - норматив отчисления от налога в бюджет сельского поселения Давыдовка.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2.1.2. Налог на имущество физических лиц: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57D">
        <w:rPr>
          <w:rFonts w:ascii="Times New Roman" w:hAnsi="Times New Roman" w:cs="Times New Roman"/>
          <w:sz w:val="28"/>
          <w:szCs w:val="28"/>
        </w:rPr>
        <w:t>Налог на имущество физических лиц взимается в соответствии с Законом Российской Федерации от 09.12.1991 № 2003-1 «О налогах на имущество физических лиц» (с учетом изменений) на основании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ставок налога на строения, помещения и сооружения, установленных нормативным правовым актом представительного органа сельского поселения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A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в зависимости от суммарной инвентаризационной стоимости, типа использования и иных критериев, в пределах ставок, установленных Законом Российской Федерации от 09.12.1991 № 2003-1 «О налогах на имущество физических лиц», коэффициента восстановительной стоимости имущества и темпа его роста.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НИФ = НИФ1 x КР x КС + Д,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где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НИФ - прогноз поступлений налога на имущество физических лиц на очередной финансовый год;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> НИФ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   в бюджет в соответствии с отчетом по форме N 5-МН, раздел 3 "Отчет о налоговой базе и структуре начислений по налогу на имущество физических лиц";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- коэффициент, учитывающий прирост налоговой базы в связи с увеличением   объектов   налогообложения,   находящихся   в   собственности физических лиц;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КС - коэффициент собираемости налога;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Д - дополнительные (выпадающие) доходы бюджета поселения в связи с изменением налогового и (или) бюджетного законодательства, отменой и (или) предоставлением налоговых льгот.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2.1.3. Земельный налог: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Поступления земельного налога прогнозируются на основании положений главы 31 части второй Налогового кодекса Российской Федерации. При этом учитываются данные отчетности о налоговой базе и структуре начислений по данному налогу, льготы, установленные местными органами власти, фактическое поступление налога за отчетный год и ожидаемая оценка поступлений в текущем финансовом году.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Расчет прогноза поступлений по земельному налогу на очередной финансовый год осуществляется по следующей формуле: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ЗН = (SUM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КСi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НСi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) + (ЗН1 x 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x КС ) + Д,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  <w:r w:rsidR="00EF19B5" w:rsidRPr="003D157D">
        <w:rPr>
          <w:rFonts w:ascii="Times New Roman" w:hAnsi="Times New Roman" w:cs="Times New Roman"/>
          <w:sz w:val="28"/>
          <w:szCs w:val="28"/>
        </w:rPr>
        <w:t>Г</w:t>
      </w:r>
      <w:r w:rsidRPr="003D157D">
        <w:rPr>
          <w:rFonts w:ascii="Times New Roman" w:hAnsi="Times New Roman" w:cs="Times New Roman"/>
          <w:sz w:val="28"/>
          <w:szCs w:val="28"/>
        </w:rPr>
        <w:t>де</w:t>
      </w:r>
      <w:r w:rsidR="00EF19B5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ЗН - прогноз поступлений земельного налога на очередной финансовый год;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земельных участков отдельных категорий налогоплательщиков;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- ставки налога, установленные в соответствии со статьей 394 главы 31 Налогового кодекса Российской Федерации (в процентах);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- сумма поступления земельного налога по прочим налогоплательщикам, рассчитанная исходя из динамики поступления;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57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-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>КС - коэффициент собираемости налога;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Д - дополнительные (выпадающие) доходы бюджета поселения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2.1.4. Доходы от уплаты акцизов: (на дизельное топливо, на моторные масла, на автомобильный бензин, на прямогонный бензин).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Для расчета прогноза доходов от уплаты акцизов используются: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данные министерства управления финансами Самарской области «О суммах прогнозных отчислений от акцизов на нефтепродукты в местные бюджеты»;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данные управления Федерального казначейства по Самарской области «О направлении прогноза поступлений доходов от уплаты акцизов на нефтепродукты».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2.1.5. Единый сельскохозяйственный налог.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57D">
        <w:rPr>
          <w:rFonts w:ascii="Times New Roman" w:hAnsi="Times New Roman" w:cs="Times New Roman"/>
          <w:sz w:val="28"/>
          <w:szCs w:val="28"/>
        </w:rPr>
        <w:t>Прогнозирование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Федерации, исходя из фактических поступлений налога в отчетном году и по состоянию на последнюю отчетную дату текущего финансового года, динамики макроэкономических показателей (рост потребительских цен на товары, работы, услуги и прибыли прибыльных предприятий) и налоговой базы. </w:t>
      </w:r>
      <w:proofErr w:type="gramEnd"/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Для расчета прогноза поступления единого сельскохозяйственного налога используются: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отчет Межрайонной ИФНС России № 16 по Самарской области формы N 5-ЕСХН за последний отчетный год;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информация о сумме недоимки по единому сельскохозяйственному налогу;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в части установления в бюджеты сельских поселений норматива отчислений от единого сельскохозяйственного налога.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Сумма единого сельскохозяйственного налога, прогнозируемая к поступлению в бюджет сельского поселения Давыдовка на очередной финансовый год, рассчитывается по следующей формуле:      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 xml:space="preserve">ЕСХН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офг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= (ЕСХН –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Дрг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>)*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Кпсх</w:t>
      </w:r>
      <w:proofErr w:type="spellEnd"/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где: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ЕСХНофг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- сумма единого сельскохозяйственного налога, прогнозируемая к поступлению в бюджет сельского поселения на очередной финансовый год;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ЕСХН - сумма единого сельскохозяйственного налога, фактически поступившая или ожидаемая к поступлению в бюджет сельского поселения в году, предшествующем расчетному;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Дрг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- сумма дополнительных (разовых) или выпадающих доходов бюджета сельского поселения по единому сельскохозяйственному налогу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налога;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57D">
        <w:rPr>
          <w:rFonts w:ascii="Times New Roman" w:hAnsi="Times New Roman" w:cs="Times New Roman"/>
          <w:sz w:val="28"/>
          <w:szCs w:val="28"/>
        </w:rPr>
        <w:t>Кпсх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показатель прогноза социально-экономического развития Самарской области продукция сельского хозяйства на прогнозируемый период.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Сумма единого сельскохозяйственного налога, ожидаемая к поступлению в году, предшествующем расчетному, определяется исходя из фактического поступления налога по состоянию на последнюю отчетную дату с учетом динамики поступления налога, сложившейся за последние три отчетных года, предшествующих расчетному году.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      2.2. Неналоговые доходы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Прогноз неналоговых доходов бюджета сельского поселения Давыдовка на очередной финансовый год и на плановый период рассчитывается главным администратором доходов бюджета сельского поселения с учетом динамики поступлений соответствующих доходов.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2.2.1. Арендная плата за земельные участки.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Планирование данных поступлений на очередной финансовый год производится соответствующим главным администратором доходов бюджета.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Основой расчета потенциала арендной платы за земельные участки, государственная собственность на которые не разграничена и которые расположены в границах сельского поселения Давыдовка, и находящиеся в муниципальной собственности (далее - земельные участки), являются: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> - статья 62 Бюджетного кодекса Российской Федерации;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нормативные правовые акты субъекта Самарской области, устанавливающие порядок определения размера арендной платы за земельные участки и нормативные правовые акты органов местного самоуправления, устанавливающие значение коэффициентов к арендной плате за земельные участки в отношении земельных участков, государственная собственность на которые не разграничена и которые расположены в границах сельского поселения Давыдовка;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- нормативные правовые акты муниципального района и сельского поселения Давыдовка, устанавливающие порядок определения размера арендной платы за земельные участки в отношении земельных участков, находящихся в муниципальной собственности.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При расчете арендной платы за земельные участки учитывается ожидаемый объем поступлений арендной платы за земельные участки в текущем финансовом году (исходя из начислений текущего финансового года по действующим на расчетную дату договорам аренды и расчетам, выставленным за фактическое использование земельных участков), прогноз погашения задолженности прошлых лет до конца текущего финансового года, прогноз изменения поступлений арендной платы, обусловленные увеличением (сокращением) площадей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земельных участков, сдаваемых в аренду и темп роста индекса потребительских цен на очередной финансовый год.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Прогноз общей суммы поступлений арендной платы за земельные участки рассчитывается по формуле: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АПЗ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= ((АПЗ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– Д) х Ин + З + Д) х Н,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где: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АПЗ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сумма арендной платы за земельные участки, планируемая к поступлению в бюджет сельского поселения Давыдовка в расчетном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АПЗ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сумма арендной платы за земельные участки, ожидаемая к поступлению в бюджет сельского поселения Давыдовка в текущем финансовом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5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– объем задолженности прошлых лет арендной платы за земельные участки, поступившей или планируемой к погашению;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>Д – дополнительные или выпадающие доходы бюджета по арендной плате за земельные участки, связанные с изменениями условий договора аренды, а также влиянием иных факторов;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Н – норматив отчисления в бюджет сельского поселения.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2.2.2. Доходы от сдачи в аренду имущества.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Основой расчета доходов от сдачи в аренду имущества, находящегося в оперативном управлении органов власти сельского поселения и созданных ими учреждений (далее – арендная плата за имущество), являются: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статья 62 Бюджетного кодекса Российской Федерации;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- порядок расчета арендной платы за пользование имуществом, находящимся в собственности сельского поселения Давыдовка.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Планирование данных поступлений на очередной финансовый год производится главным администратором доходов бюджета.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57D">
        <w:rPr>
          <w:rFonts w:ascii="Times New Roman" w:hAnsi="Times New Roman" w:cs="Times New Roman"/>
          <w:sz w:val="28"/>
          <w:szCs w:val="28"/>
        </w:rPr>
        <w:t>При расчете арендной платы за имущество учитывается ожидаемый объем поступлений в текущем финансовом году (исходя из начислений текущего финансового года по действующим на расчетную дату договорам аренды и расчетам, выставленным за фактическое использование имущества), прогноз погашения задолженности прошлых лет до конца текущего финансового года, прогноз изменения поступлений арендной платы, обусловленные увеличением (сокращением) имущества, сдаваемого в аренду и темп роста индекса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потребительских цен на очередной финансовый год.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Прогноз поступлений арендной платы за имущество в бюджет рассчитывается по формуле: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АПИ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= ((АПИ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D15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– Д) х Ин + З + Д) х Н,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где: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АПИ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сумма арендной платы за имущество, планируемая к поступлению в бюджет сельского поселения Давыдовка в расчетном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 xml:space="preserve">АПИ </w:t>
      </w:r>
      <w:proofErr w:type="spellStart"/>
      <w:r w:rsidRPr="003D157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3D157D">
        <w:rPr>
          <w:rFonts w:ascii="Times New Roman" w:hAnsi="Times New Roman" w:cs="Times New Roman"/>
          <w:sz w:val="28"/>
          <w:szCs w:val="28"/>
        </w:rPr>
        <w:t xml:space="preserve"> – сумма арендной платы за имущество, ожидаемая к поступлению в бюджет сельского поселения Давыдовка в текущем финансовом году;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5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157D">
        <w:rPr>
          <w:rFonts w:ascii="Times New Roman" w:hAnsi="Times New Roman" w:cs="Times New Roman"/>
          <w:sz w:val="28"/>
          <w:szCs w:val="28"/>
        </w:rPr>
        <w:t xml:space="preserve"> – объем задолженности прошлых лет арендной платы за имущество, поступившей или планируемой к погашению;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lastRenderedPageBreak/>
        <w:t>Д – дополнительные или выпадающие доходы бюджета по арендной плате за имущество, связанные с изменениями условий договора аренды, а также влиянием иных факторов;</w:t>
      </w:r>
      <w:r w:rsidR="003D157D">
        <w:rPr>
          <w:rFonts w:ascii="Times New Roman" w:hAnsi="Times New Roman" w:cs="Times New Roman"/>
          <w:sz w:val="28"/>
          <w:szCs w:val="28"/>
        </w:rPr>
        <w:t xml:space="preserve"> </w:t>
      </w:r>
      <w:r w:rsidRPr="003D157D">
        <w:rPr>
          <w:rFonts w:ascii="Times New Roman" w:hAnsi="Times New Roman" w:cs="Times New Roman"/>
          <w:sz w:val="28"/>
          <w:szCs w:val="28"/>
        </w:rPr>
        <w:t> </w:t>
      </w:r>
    </w:p>
    <w:p w:rsidR="00D612D3" w:rsidRPr="003D157D" w:rsidRDefault="00D612D3" w:rsidP="00D612D3">
      <w:pPr>
        <w:rPr>
          <w:rFonts w:ascii="Times New Roman" w:hAnsi="Times New Roman" w:cs="Times New Roman"/>
          <w:sz w:val="28"/>
          <w:szCs w:val="28"/>
        </w:rPr>
      </w:pPr>
      <w:r w:rsidRPr="003D157D">
        <w:rPr>
          <w:rFonts w:ascii="Times New Roman" w:hAnsi="Times New Roman" w:cs="Times New Roman"/>
          <w:sz w:val="28"/>
          <w:szCs w:val="28"/>
        </w:rPr>
        <w:t>Н - норматив отчисления в бюджет сельского поселения.</w:t>
      </w:r>
    </w:p>
    <w:sectPr w:rsidR="00D612D3" w:rsidRPr="003D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EF8"/>
    <w:multiLevelType w:val="multilevel"/>
    <w:tmpl w:val="D5C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02D2F"/>
    <w:multiLevelType w:val="multilevel"/>
    <w:tmpl w:val="21B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E3DB3"/>
    <w:multiLevelType w:val="multilevel"/>
    <w:tmpl w:val="927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F5"/>
    <w:rsid w:val="00130CAD"/>
    <w:rsid w:val="002F257B"/>
    <w:rsid w:val="003D157D"/>
    <w:rsid w:val="00647770"/>
    <w:rsid w:val="007A3B0B"/>
    <w:rsid w:val="008C17F5"/>
    <w:rsid w:val="00946C4C"/>
    <w:rsid w:val="00D612D3"/>
    <w:rsid w:val="00DD76CB"/>
    <w:rsid w:val="00DF33AF"/>
    <w:rsid w:val="00EE39E5"/>
    <w:rsid w:val="00E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2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2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9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824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1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1065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13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97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067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47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5684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952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9168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5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0423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04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9399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FD3B-DA16-4417-9E4A-2FEFAA5D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2019-02-14T10:38:00Z</cp:lastPrinted>
  <dcterms:created xsi:type="dcterms:W3CDTF">2019-01-14T12:35:00Z</dcterms:created>
  <dcterms:modified xsi:type="dcterms:W3CDTF">2019-02-14T11:27:00Z</dcterms:modified>
</cp:coreProperties>
</file>